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F7" w:rsidRPr="006F2A38" w:rsidRDefault="00D918F7" w:rsidP="00D918F7">
      <w:pPr>
        <w:pStyle w:val="Normlnywebov"/>
        <w:shd w:val="clear" w:color="auto" w:fill="FFFFFF"/>
        <w:spacing w:before="0" w:beforeAutospacing="0" w:after="150" w:afterAutospacing="0" w:line="360" w:lineRule="auto"/>
        <w:jc w:val="center"/>
        <w:rPr>
          <w:rStyle w:val="Zvraznenie"/>
          <w:rFonts w:asciiTheme="minorHAnsi" w:hAnsiTheme="minorHAnsi" w:cstheme="minorHAnsi"/>
          <w:b/>
          <w:i w:val="0"/>
        </w:rPr>
      </w:pPr>
      <w:r w:rsidRPr="006F2A38">
        <w:rPr>
          <w:rStyle w:val="Zvraznenie"/>
          <w:rFonts w:asciiTheme="minorHAnsi" w:hAnsiTheme="minorHAnsi" w:cstheme="minorHAnsi"/>
          <w:b/>
          <w:i w:val="0"/>
          <w:noProof/>
        </w:rPr>
        <w:drawing>
          <wp:inline distT="0" distB="0" distL="0" distR="0" wp14:anchorId="30F47A3A" wp14:editId="2E01C1C9">
            <wp:extent cx="5760720" cy="576072"/>
            <wp:effectExtent l="0" t="0" r="0" b="0"/>
            <wp:docPr id="4" name="Obrázok 4" descr="C:\Users\bielena\Desktop\LOGA\l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elena\Desktop\LOGA\log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F7" w:rsidRPr="006F2A38" w:rsidRDefault="00D918F7" w:rsidP="00D918F7">
      <w:pPr>
        <w:pStyle w:val="Normlnywebov"/>
        <w:shd w:val="clear" w:color="auto" w:fill="FFFFFF"/>
        <w:spacing w:before="0" w:beforeAutospacing="0" w:after="150" w:afterAutospacing="0" w:line="360" w:lineRule="auto"/>
        <w:jc w:val="center"/>
        <w:rPr>
          <w:rStyle w:val="Zvraznenie"/>
          <w:rFonts w:asciiTheme="minorHAnsi" w:hAnsiTheme="minorHAnsi" w:cstheme="minorHAnsi"/>
          <w:b/>
          <w:i w:val="0"/>
        </w:rPr>
      </w:pPr>
    </w:p>
    <w:p w:rsidR="00D918F7" w:rsidRPr="006F2A38" w:rsidRDefault="00D918F7" w:rsidP="00D918F7">
      <w:pPr>
        <w:pStyle w:val="Normlnywebov"/>
        <w:shd w:val="clear" w:color="auto" w:fill="FFFFFF"/>
        <w:spacing w:before="0" w:beforeAutospacing="0" w:after="150" w:afterAutospacing="0" w:line="360" w:lineRule="auto"/>
        <w:jc w:val="center"/>
        <w:rPr>
          <w:rStyle w:val="Zvraznenie"/>
          <w:rFonts w:asciiTheme="minorHAnsi" w:hAnsiTheme="minorHAnsi" w:cstheme="minorHAnsi"/>
          <w:b/>
          <w:i w:val="0"/>
        </w:rPr>
      </w:pPr>
      <w:r w:rsidRPr="006F2A38">
        <w:rPr>
          <w:rStyle w:val="Zvraznenie"/>
          <w:rFonts w:asciiTheme="minorHAnsi" w:hAnsiTheme="minorHAnsi" w:cstheme="minorHAnsi"/>
          <w:b/>
          <w:i w:val="0"/>
        </w:rPr>
        <w:t>Národný projekt Deinštitucionalizácia zariadení sociálnych služieb - Podpora transformačných tímov</w:t>
      </w:r>
    </w:p>
    <w:p w:rsidR="00D918F7" w:rsidRPr="006F2A38" w:rsidRDefault="00D918F7" w:rsidP="00D918F7">
      <w:pPr>
        <w:pStyle w:val="Normlnywebov"/>
        <w:shd w:val="clear" w:color="auto" w:fill="FFFFFF"/>
        <w:spacing w:before="0" w:beforeAutospacing="0" w:after="150" w:afterAutospacing="0" w:line="360" w:lineRule="auto"/>
        <w:jc w:val="center"/>
        <w:rPr>
          <w:rStyle w:val="Zvraznenie"/>
          <w:rFonts w:asciiTheme="minorHAnsi" w:hAnsiTheme="minorHAnsi" w:cstheme="minorHAnsi"/>
          <w:b/>
          <w:i w:val="0"/>
        </w:rPr>
      </w:pPr>
    </w:p>
    <w:p w:rsidR="00D918F7" w:rsidRPr="006F2A38" w:rsidRDefault="00D918F7" w:rsidP="00D918F7">
      <w:pPr>
        <w:pStyle w:val="Normlnywebov"/>
        <w:shd w:val="clear" w:color="auto" w:fill="FFFFFF"/>
        <w:spacing w:before="0" w:beforeAutospacing="0" w:after="150" w:afterAutospacing="0" w:line="360" w:lineRule="auto"/>
        <w:jc w:val="both"/>
        <w:rPr>
          <w:rStyle w:val="Zvraznenie"/>
          <w:rFonts w:asciiTheme="minorHAnsi" w:hAnsiTheme="minorHAnsi" w:cstheme="minorHAnsi"/>
          <w:i w:val="0"/>
        </w:rPr>
      </w:pPr>
      <w:bookmarkStart w:id="0" w:name="_GoBack"/>
      <w:bookmarkEnd w:id="0"/>
      <w:r w:rsidRPr="005E0E23">
        <w:rPr>
          <w:rFonts w:cstheme="minorHAnsi"/>
        </w:rPr>
        <w:t>Zariadenie</w:t>
      </w:r>
      <w:r w:rsidRPr="005E0E23">
        <w:rPr>
          <w:rFonts w:asciiTheme="minorHAnsi" w:hAnsiTheme="minorHAnsi" w:cstheme="minorHAnsi"/>
        </w:rPr>
        <w:t xml:space="preserve"> sociálnych služieb</w:t>
      </w:r>
      <w:r w:rsidR="005E0E23">
        <w:rPr>
          <w:rFonts w:asciiTheme="minorHAnsi" w:hAnsiTheme="minorHAnsi" w:cstheme="minorHAnsi"/>
        </w:rPr>
        <w:t xml:space="preserve"> PE-ES, </w:t>
      </w:r>
      <w:proofErr w:type="spellStart"/>
      <w:r w:rsidR="005E0E23">
        <w:rPr>
          <w:rFonts w:asciiTheme="minorHAnsi" w:hAnsiTheme="minorHAnsi" w:cstheme="minorHAnsi"/>
        </w:rPr>
        <w:t>n.o</w:t>
      </w:r>
      <w:proofErr w:type="spellEnd"/>
      <w:r w:rsidR="005E0E23">
        <w:rPr>
          <w:rFonts w:asciiTheme="minorHAnsi" w:hAnsiTheme="minorHAnsi" w:cstheme="minorHAnsi"/>
        </w:rPr>
        <w:t>.</w:t>
      </w:r>
      <w:r w:rsidRPr="006F2A38">
        <w:rPr>
          <w:rFonts w:asciiTheme="minorHAnsi" w:hAnsiTheme="minorHAnsi" w:cstheme="minorHAnsi"/>
        </w:rPr>
        <w:t xml:space="preserve"> sa </w:t>
      </w:r>
      <w:r w:rsidRPr="006F2A38">
        <w:rPr>
          <w:rFonts w:cstheme="minorHAnsi"/>
        </w:rPr>
        <w:t>úspešne zapojilo</w:t>
      </w:r>
      <w:r w:rsidRPr="006F2A38">
        <w:rPr>
          <w:rFonts w:asciiTheme="minorHAnsi" w:hAnsiTheme="minorHAnsi" w:cstheme="minorHAnsi"/>
        </w:rPr>
        <w:t xml:space="preserve"> do Národnéh</w:t>
      </w:r>
      <w:r w:rsidRPr="006F2A38">
        <w:rPr>
          <w:rFonts w:cstheme="minorHAnsi"/>
        </w:rPr>
        <w:t>o projektu Deinštitucionalizácia</w:t>
      </w:r>
      <w:r w:rsidRPr="006F2A38">
        <w:rPr>
          <w:rFonts w:asciiTheme="minorHAnsi" w:hAnsiTheme="minorHAnsi" w:cstheme="minorHAnsi"/>
        </w:rPr>
        <w:t xml:space="preserve"> zariadení sociálnych služieb – Podpora transformačných tímov</w:t>
      </w:r>
      <w:r w:rsidRPr="006F2A38">
        <w:rPr>
          <w:rFonts w:cstheme="minorHAnsi"/>
        </w:rPr>
        <w:t xml:space="preserve"> ITMS2014-312041R446</w:t>
      </w:r>
      <w:r w:rsidRPr="006F2A38">
        <w:rPr>
          <w:rFonts w:asciiTheme="minorHAnsi" w:hAnsiTheme="minorHAnsi" w:cstheme="minorHAnsi"/>
        </w:rPr>
        <w:t>, ktorý realizuje Implementačná agentúra Ministerstva práce sociálnych vecí a rodiny Slovenskej republiky</w:t>
      </w:r>
      <w:r w:rsidRPr="006F2A38">
        <w:rPr>
          <w:rStyle w:val="Zvraznenie"/>
          <w:rFonts w:cstheme="minorHAnsi"/>
          <w:i w:val="0"/>
        </w:rPr>
        <w:t xml:space="preserve"> </w:t>
      </w:r>
      <w:r w:rsidRPr="006F2A38">
        <w:rPr>
          <w:rStyle w:val="Zvraznenie"/>
          <w:rFonts w:asciiTheme="minorHAnsi" w:hAnsiTheme="minorHAnsi" w:cstheme="minorHAnsi"/>
          <w:i w:val="0"/>
        </w:rPr>
        <w:t>v spolupráci s</w:t>
      </w:r>
      <w:r w:rsidR="006F2A38" w:rsidRPr="006F2A38">
        <w:rPr>
          <w:rStyle w:val="Zvraznenie"/>
          <w:rFonts w:cstheme="minorHAnsi"/>
          <w:i w:val="0"/>
        </w:rPr>
        <w:t> </w:t>
      </w:r>
      <w:r w:rsidRPr="006F2A38">
        <w:rPr>
          <w:rStyle w:val="Zvraznenie"/>
          <w:rFonts w:asciiTheme="minorHAnsi" w:hAnsiTheme="minorHAnsi" w:cstheme="minorHAnsi"/>
          <w:i w:val="0"/>
        </w:rPr>
        <w:t>partnermi</w:t>
      </w:r>
      <w:r w:rsidR="006F2A38" w:rsidRPr="006F2A38">
        <w:rPr>
          <w:rStyle w:val="Zvraznenie"/>
          <w:rFonts w:cstheme="minorHAnsi"/>
          <w:i w:val="0"/>
        </w:rPr>
        <w:t xml:space="preserve">:  </w:t>
      </w:r>
      <w:r w:rsidRPr="006F2A38">
        <w:rPr>
          <w:rStyle w:val="Siln"/>
          <w:rFonts w:asciiTheme="minorHAnsi" w:hAnsiTheme="minorHAnsi" w:cstheme="minorHAnsi"/>
          <w:b w:val="0"/>
        </w:rPr>
        <w:t>Radou pre poradenstvo v sociálnej práci</w:t>
      </w:r>
      <w:r w:rsidRPr="006F2A38">
        <w:rPr>
          <w:rStyle w:val="Zvraznenie"/>
          <w:rFonts w:asciiTheme="minorHAnsi" w:hAnsiTheme="minorHAnsi" w:cstheme="minorHAnsi"/>
          <w:b/>
          <w:i w:val="0"/>
        </w:rPr>
        <w:t>, </w:t>
      </w:r>
      <w:r w:rsidRPr="006F2A38">
        <w:rPr>
          <w:rStyle w:val="Siln"/>
          <w:rFonts w:asciiTheme="minorHAnsi" w:hAnsiTheme="minorHAnsi" w:cstheme="minorHAnsi"/>
          <w:b w:val="0"/>
        </w:rPr>
        <w:t>Slovenskou úniou podporovaného zamestnávania</w:t>
      </w:r>
      <w:r w:rsidRPr="006F2A38">
        <w:rPr>
          <w:rStyle w:val="Zvraznenie"/>
          <w:rFonts w:asciiTheme="minorHAnsi" w:hAnsiTheme="minorHAnsi" w:cstheme="minorHAnsi"/>
          <w:b/>
          <w:i w:val="0"/>
        </w:rPr>
        <w:t> </w:t>
      </w:r>
      <w:r w:rsidRPr="006F2A38">
        <w:rPr>
          <w:rStyle w:val="Zvraznenie"/>
          <w:rFonts w:asciiTheme="minorHAnsi" w:hAnsiTheme="minorHAnsi" w:cstheme="minorHAnsi"/>
          <w:i w:val="0"/>
        </w:rPr>
        <w:t>a Fakultou architektúry STU –</w:t>
      </w:r>
      <w:r w:rsidRPr="006F2A38">
        <w:rPr>
          <w:rStyle w:val="Zvraznenie"/>
          <w:rFonts w:asciiTheme="minorHAnsi" w:hAnsiTheme="minorHAnsi" w:cstheme="minorHAnsi"/>
          <w:b/>
          <w:i w:val="0"/>
        </w:rPr>
        <w:t> </w:t>
      </w:r>
      <w:r w:rsidRPr="006F2A38">
        <w:rPr>
          <w:rStyle w:val="Siln"/>
          <w:rFonts w:asciiTheme="minorHAnsi" w:hAnsiTheme="minorHAnsi" w:cstheme="minorHAnsi"/>
          <w:b w:val="0"/>
        </w:rPr>
        <w:t>Výskumným a školiacim centrom bezbariérového navrhovania</w:t>
      </w:r>
      <w:r w:rsidRPr="006F2A38">
        <w:rPr>
          <w:rStyle w:val="Zvraznenie"/>
          <w:rFonts w:asciiTheme="minorHAnsi" w:hAnsiTheme="minorHAnsi" w:cstheme="minorHAnsi"/>
          <w:b/>
          <w:i w:val="0"/>
        </w:rPr>
        <w:t xml:space="preserve"> – </w:t>
      </w:r>
      <w:r w:rsidRPr="006F2A38">
        <w:rPr>
          <w:rStyle w:val="Zvraznenie"/>
          <w:rFonts w:asciiTheme="minorHAnsi" w:hAnsiTheme="minorHAnsi" w:cstheme="minorHAnsi"/>
          <w:i w:val="0"/>
        </w:rPr>
        <w:t>CEDA</w:t>
      </w:r>
      <w:r w:rsidRPr="006F2A38">
        <w:rPr>
          <w:rFonts w:asciiTheme="minorHAnsi" w:hAnsiTheme="minorHAnsi" w:cstheme="minorHAnsi"/>
        </w:rPr>
        <w:t xml:space="preserve">. </w:t>
      </w:r>
      <w:r w:rsidRPr="006F2A38">
        <w:rPr>
          <w:rFonts w:asciiTheme="minorHAnsi" w:hAnsiTheme="minorHAnsi" w:cstheme="minorHAnsi"/>
          <w:b/>
        </w:rPr>
        <w:t>Tento projekt sa realizuje vďaka podpore z Európskeho sociálneho fondu v rámci Operačného programu Ľudské zdroje.</w:t>
      </w:r>
      <w:r w:rsidRPr="006F2A38">
        <w:rPr>
          <w:rStyle w:val="Zvraznenie"/>
          <w:rFonts w:asciiTheme="minorHAnsi" w:hAnsiTheme="minorHAnsi" w:cstheme="minorHAnsi"/>
          <w:i w:val="0"/>
        </w:rPr>
        <w:t xml:space="preserve"> </w:t>
      </w:r>
    </w:p>
    <w:p w:rsidR="00D918F7" w:rsidRPr="006F2A38" w:rsidRDefault="00D918F7" w:rsidP="00D918F7">
      <w:pPr>
        <w:pStyle w:val="Normlnywebov"/>
        <w:shd w:val="clear" w:color="auto" w:fill="FFFFFF"/>
        <w:spacing w:before="0" w:beforeAutospacing="0" w:after="150" w:afterAutospacing="0" w:line="360" w:lineRule="auto"/>
        <w:jc w:val="both"/>
        <w:rPr>
          <w:rStyle w:val="Zvraznenie"/>
          <w:rFonts w:asciiTheme="minorHAnsi" w:hAnsiTheme="minorHAnsi" w:cstheme="minorHAnsi"/>
          <w:i w:val="0"/>
        </w:rPr>
      </w:pPr>
      <w:r w:rsidRPr="006F2A38">
        <w:rPr>
          <w:rStyle w:val="Zvraznenie"/>
          <w:rFonts w:asciiTheme="minorHAnsi" w:hAnsiTheme="minorHAnsi" w:cstheme="minorHAnsi"/>
          <w:i w:val="0"/>
        </w:rPr>
        <w:t xml:space="preserve">Počas trvania projektu od augusta 2018 do októbra 2023 sa postupne v štyroch cykloch zapojí 96 zariadení sociálnych služieb na celom Slovensku, pričom ich zapojenie bude trvať 23 mesiacov. V súčasnosti prebieha 1.cyklus, do ktorého je zapojených 25 zariadení sociálnych služieb. </w:t>
      </w:r>
    </w:p>
    <w:p w:rsidR="00D918F7" w:rsidRPr="006F2A38" w:rsidRDefault="00D918F7" w:rsidP="00D918F7">
      <w:pPr>
        <w:pStyle w:val="Normlnywebov"/>
        <w:shd w:val="clear" w:color="auto" w:fill="FFFFFF"/>
        <w:spacing w:before="0" w:beforeAutospacing="0" w:after="150" w:afterAutospacing="0" w:line="360" w:lineRule="auto"/>
        <w:jc w:val="both"/>
        <w:rPr>
          <w:rStyle w:val="Zvraznenie"/>
          <w:rFonts w:asciiTheme="minorHAnsi" w:hAnsiTheme="minorHAnsi" w:cstheme="minorHAnsi"/>
          <w:i w:val="0"/>
        </w:rPr>
      </w:pPr>
      <w:r w:rsidRPr="006F2A38">
        <w:rPr>
          <w:rStyle w:val="Zvraznenie"/>
          <w:rFonts w:asciiTheme="minorHAnsi" w:hAnsiTheme="minorHAnsi" w:cstheme="minorHAnsi"/>
          <w:b/>
          <w:i w:val="0"/>
        </w:rPr>
        <w:t>Cieľom projektu</w:t>
      </w:r>
      <w:r w:rsidRPr="006F2A38">
        <w:rPr>
          <w:rStyle w:val="Zvraznenie"/>
          <w:rFonts w:asciiTheme="minorHAnsi" w:hAnsiTheme="minorHAnsi" w:cstheme="minorHAnsi"/>
          <w:i w:val="0"/>
        </w:rPr>
        <w:t xml:space="preserve"> je intenzívna podpora zamestnancov a zriaďovateľov zariadení sociálnych služieb v ich príprave na proces transformácie daných zariadení. Výsledkom budú kvalitne pripravené </w:t>
      </w:r>
      <w:r w:rsidRPr="006F2A38">
        <w:rPr>
          <w:rStyle w:val="Zvraznenie"/>
          <w:rFonts w:asciiTheme="minorHAnsi" w:hAnsiTheme="minorHAnsi" w:cstheme="minorHAnsi"/>
          <w:b/>
          <w:i w:val="0"/>
        </w:rPr>
        <w:t>transformačné plány</w:t>
      </w:r>
      <w:r w:rsidRPr="006F2A38">
        <w:rPr>
          <w:rStyle w:val="Zvraznenie"/>
          <w:rFonts w:asciiTheme="minorHAnsi" w:hAnsiTheme="minorHAnsi" w:cstheme="minorHAnsi"/>
          <w:i w:val="0"/>
        </w:rPr>
        <w:t xml:space="preserve"> pre všetky zapojené zariadenia. V rámci projektu bude zapojeným subjektom poskytované poradenstvo, konzultácie, supervízie a vzdelávanie v rámci certifikovaných kurzov, informačných seminárov a tematických workshopov. Vzdelávanie je zamerané na rôzne oblasti deinštitucionalizácie (DI), napr.: na riadenie zmien počas procesu transformácie zariadenia, prípravu pracovníkov zariadení na zmenu prístupu ku </w:t>
      </w:r>
      <w:r w:rsidR="00635388" w:rsidRPr="006F2A38">
        <w:rPr>
          <w:rStyle w:val="Zvraznenie"/>
          <w:rFonts w:asciiTheme="minorHAnsi" w:hAnsiTheme="minorHAnsi" w:cstheme="minorHAnsi"/>
          <w:i w:val="0"/>
        </w:rPr>
        <w:t>prijímateľom sociálnych služieb</w:t>
      </w:r>
      <w:r w:rsidRPr="006F2A38">
        <w:rPr>
          <w:rStyle w:val="Zvraznenie"/>
          <w:rFonts w:asciiTheme="minorHAnsi" w:hAnsiTheme="minorHAnsi" w:cstheme="minorHAnsi"/>
          <w:i w:val="0"/>
        </w:rPr>
        <w:t xml:space="preserve"> (dôraz na individuálny prístup), na oboznámenie sa s princípmi univerzálneho navrhovania v architektúre, na predstavenie nových foriem práce s</w:t>
      </w:r>
      <w:r w:rsidR="00635388" w:rsidRPr="006F2A38">
        <w:rPr>
          <w:rStyle w:val="Zvraznenie"/>
          <w:rFonts w:asciiTheme="minorHAnsi" w:hAnsiTheme="minorHAnsi" w:cstheme="minorHAnsi"/>
          <w:i w:val="0"/>
        </w:rPr>
        <w:t xml:space="preserve"> prijímateľmi</w:t>
      </w:r>
      <w:r w:rsidRPr="006F2A38">
        <w:rPr>
          <w:rStyle w:val="Zvraznenie"/>
          <w:rFonts w:asciiTheme="minorHAnsi" w:hAnsiTheme="minorHAnsi" w:cstheme="minorHAnsi"/>
          <w:i w:val="0"/>
        </w:rPr>
        <w:t xml:space="preserve">, ktoré sú zamerané na aktivizáciu a rozvoj pracovných zručností s cieľom začleniť </w:t>
      </w:r>
      <w:r w:rsidR="00635388" w:rsidRPr="006F2A38">
        <w:rPr>
          <w:rStyle w:val="Zvraznenie"/>
          <w:rFonts w:asciiTheme="minorHAnsi" w:hAnsiTheme="minorHAnsi" w:cstheme="minorHAnsi"/>
          <w:i w:val="0"/>
        </w:rPr>
        <w:t>ich</w:t>
      </w:r>
      <w:r w:rsidRPr="006F2A38">
        <w:rPr>
          <w:rStyle w:val="Zvraznenie"/>
          <w:rFonts w:asciiTheme="minorHAnsi" w:hAnsiTheme="minorHAnsi" w:cstheme="minorHAnsi"/>
          <w:i w:val="0"/>
        </w:rPr>
        <w:t xml:space="preserve"> do pracovného procesu, atď.</w:t>
      </w:r>
      <w:r w:rsidRPr="006F2A38">
        <w:rPr>
          <w:rStyle w:val="Zvraznenie"/>
          <w:rFonts w:asciiTheme="minorHAnsi" w:hAnsiTheme="minorHAnsi" w:cstheme="minorHAnsi"/>
          <w:b/>
          <w:i w:val="0"/>
          <w:noProof/>
        </w:rPr>
        <w:t xml:space="preserve"> </w:t>
      </w:r>
    </w:p>
    <w:p w:rsidR="00D918F7" w:rsidRPr="006F2A38" w:rsidRDefault="00D918F7" w:rsidP="00D918F7">
      <w:pPr>
        <w:pStyle w:val="Normlnywebov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 w:rsidRPr="006F2A38">
        <w:rPr>
          <w:rStyle w:val="Zvraznenie"/>
          <w:rFonts w:asciiTheme="minorHAnsi" w:hAnsiTheme="minorHAnsi" w:cstheme="minorHAnsi"/>
          <w:i w:val="0"/>
        </w:rPr>
        <w:lastRenderedPageBreak/>
        <w:t>Súčasťou projektu je aj dôkladné hodnotenie pripravenosti jednotlivých zariadení na proces transformácie a informačná kampaň, ktorá bude realizovaná najmä prostredníctvom komunitných aktivít s cieľom vytvárať pozitívne vzťahy v lokalite, v ktorej bude prebiehať proces DI.</w:t>
      </w:r>
    </w:p>
    <w:p w:rsidR="00D918F7" w:rsidRPr="006F2A38" w:rsidRDefault="00D918F7" w:rsidP="00D918F7">
      <w:pPr>
        <w:pStyle w:val="Normlnywebov"/>
        <w:shd w:val="clear" w:color="auto" w:fill="FFFFFF"/>
        <w:spacing w:before="0" w:beforeAutospacing="0" w:after="150" w:afterAutospacing="0" w:line="360" w:lineRule="auto"/>
        <w:jc w:val="both"/>
        <w:rPr>
          <w:rStyle w:val="Zvraznenie"/>
          <w:rFonts w:asciiTheme="minorHAnsi" w:hAnsiTheme="minorHAnsi" w:cstheme="minorHAnsi"/>
          <w:i w:val="0"/>
        </w:rPr>
      </w:pPr>
      <w:r w:rsidRPr="006F2A38">
        <w:rPr>
          <w:rStyle w:val="Zvraznenie"/>
          <w:rFonts w:asciiTheme="minorHAnsi" w:hAnsiTheme="minorHAnsi" w:cstheme="minorHAnsi"/>
          <w:i w:val="0"/>
        </w:rPr>
        <w:t>Aj vďaka národnému projektu Slovensko postupne napĺňa </w:t>
      </w:r>
      <w:hyperlink r:id="rId6" w:history="1">
        <w:r w:rsidRPr="006F2A38">
          <w:rPr>
            <w:rStyle w:val="Hypertextovprepojenie"/>
            <w:rFonts w:asciiTheme="minorHAnsi" w:hAnsiTheme="minorHAnsi" w:cstheme="minorHAnsi"/>
          </w:rPr>
          <w:t>Dohovor o právach osôb so zdravotným postihnutím</w:t>
        </w:r>
      </w:hyperlink>
      <w:r w:rsidRPr="006F2A38">
        <w:rPr>
          <w:rStyle w:val="Zvraznenie"/>
          <w:rFonts w:asciiTheme="minorHAnsi" w:hAnsiTheme="minorHAnsi" w:cstheme="minorHAnsi"/>
          <w:i w:val="0"/>
          <w:color w:val="4E4E4E"/>
        </w:rPr>
        <w:t xml:space="preserve">, </w:t>
      </w:r>
      <w:r w:rsidRPr="006F2A38">
        <w:rPr>
          <w:rStyle w:val="Zvraznenie"/>
          <w:rFonts w:asciiTheme="minorHAnsi" w:hAnsiTheme="minorHAnsi" w:cstheme="minorHAnsi"/>
          <w:i w:val="0"/>
        </w:rPr>
        <w:t>ktorý kladie dôraz na zabezpečenie rovnakých práv všetkých osôb so zdravotným postihnutím, vrátane ich práva na život v spoločenstve s rovnakými možnosťami a voľbami ako majú ostatní ľudia.</w:t>
      </w:r>
    </w:p>
    <w:p w:rsidR="00D918F7" w:rsidRPr="006F2A38" w:rsidRDefault="00D918F7" w:rsidP="00D918F7">
      <w:pPr>
        <w:pStyle w:val="Normlnywebov"/>
        <w:shd w:val="clear" w:color="auto" w:fill="FFFFFF"/>
        <w:spacing w:before="0" w:beforeAutospacing="0" w:after="150" w:afterAutospacing="0" w:line="360" w:lineRule="auto"/>
        <w:jc w:val="both"/>
        <w:rPr>
          <w:rStyle w:val="Zvraznenie"/>
          <w:rFonts w:asciiTheme="minorHAnsi" w:hAnsiTheme="minorHAnsi" w:cstheme="minorHAnsi"/>
          <w:b/>
          <w:i w:val="0"/>
          <w:noProof/>
        </w:rPr>
      </w:pPr>
      <w:r w:rsidRPr="006F2A38">
        <w:rPr>
          <w:rStyle w:val="Zvraznenie"/>
          <w:rFonts w:asciiTheme="minorHAnsi" w:hAnsiTheme="minorHAnsi" w:cstheme="minorHAnsi"/>
          <w:b/>
          <w:i w:val="0"/>
          <w:sz w:val="28"/>
          <w:szCs w:val="28"/>
        </w:rPr>
        <w:t>Viac informácií o procese DI nájdete na</w:t>
      </w:r>
      <w:r w:rsidRPr="006F2A38">
        <w:rPr>
          <w:rStyle w:val="Zvraznenie"/>
          <w:rFonts w:asciiTheme="minorHAnsi" w:hAnsiTheme="minorHAnsi" w:cstheme="minorHAnsi"/>
          <w:i w:val="0"/>
        </w:rPr>
        <w:t xml:space="preserve"> </w:t>
      </w:r>
      <w:hyperlink r:id="rId7" w:history="1">
        <w:r w:rsidRPr="006F2A38">
          <w:rPr>
            <w:rStyle w:val="Hypertextovprepojenie"/>
            <w:rFonts w:asciiTheme="minorHAnsi" w:hAnsiTheme="minorHAnsi" w:cstheme="minorHAnsi"/>
          </w:rPr>
          <w:t>www.npdi.gov.sk</w:t>
        </w:r>
      </w:hyperlink>
      <w:r w:rsidRPr="006F2A38">
        <w:rPr>
          <w:rStyle w:val="Zvraznenie"/>
          <w:rFonts w:asciiTheme="minorHAnsi" w:hAnsiTheme="minorHAnsi" w:cstheme="minorHAnsi"/>
          <w:i w:val="0"/>
        </w:rPr>
        <w:t xml:space="preserve"> </w:t>
      </w:r>
    </w:p>
    <w:p w:rsidR="00D918F7" w:rsidRPr="006F2A38" w:rsidRDefault="00D918F7" w:rsidP="00D918F7">
      <w:pPr>
        <w:pStyle w:val="Normlnywebov"/>
        <w:shd w:val="clear" w:color="auto" w:fill="FFFFFF"/>
        <w:spacing w:before="0" w:beforeAutospacing="0" w:after="150" w:afterAutospacing="0" w:line="360" w:lineRule="auto"/>
        <w:jc w:val="center"/>
        <w:rPr>
          <w:rStyle w:val="Zvraznenie"/>
          <w:rFonts w:asciiTheme="minorHAnsi" w:hAnsiTheme="minorHAnsi" w:cstheme="minorHAnsi"/>
          <w:b/>
          <w:i w:val="0"/>
          <w:noProof/>
        </w:rPr>
      </w:pPr>
    </w:p>
    <w:p w:rsidR="00AA4DA2" w:rsidRPr="006F2A38" w:rsidRDefault="00D918F7" w:rsidP="00D918F7">
      <w:pPr>
        <w:jc w:val="center"/>
      </w:pPr>
      <w:r w:rsidRPr="006F2A38">
        <w:rPr>
          <w:rStyle w:val="Zvraznenie"/>
          <w:rFonts w:cstheme="minorHAnsi"/>
          <w:b/>
          <w:i w:val="0"/>
          <w:noProof/>
          <w:lang w:eastAsia="sk-SK"/>
        </w:rPr>
        <w:drawing>
          <wp:inline distT="0" distB="0" distL="0" distR="0" wp14:anchorId="44A84865" wp14:editId="06EE2AC1">
            <wp:extent cx="2654935" cy="701303"/>
            <wp:effectExtent l="0" t="0" r="0" b="3810"/>
            <wp:docPr id="3" name="Obrázok 3" descr="C:\Users\bielena\Desktop\LOGA\DI-PTT-horizontalne-500-e1548773938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elena\Desktop\LOGA\DI-PTT-horizontalne-500-e1548773938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78" cy="73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DA2" w:rsidRPr="006F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F7"/>
    <w:rsid w:val="00314A5B"/>
    <w:rsid w:val="005E0E23"/>
    <w:rsid w:val="00635388"/>
    <w:rsid w:val="006F2A38"/>
    <w:rsid w:val="007F164A"/>
    <w:rsid w:val="00944558"/>
    <w:rsid w:val="00AA4DA2"/>
    <w:rsid w:val="00D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9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D918F7"/>
    <w:rPr>
      <w:i/>
      <w:iCs/>
    </w:rPr>
  </w:style>
  <w:style w:type="character" w:styleId="Siln">
    <w:name w:val="Strong"/>
    <w:basedOn w:val="Predvolenpsmoodseku"/>
    <w:uiPriority w:val="22"/>
    <w:qFormat/>
    <w:rsid w:val="00D918F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918F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18F7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9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D918F7"/>
    <w:rPr>
      <w:i/>
      <w:iCs/>
    </w:rPr>
  </w:style>
  <w:style w:type="character" w:styleId="Siln">
    <w:name w:val="Strong"/>
    <w:basedOn w:val="Predvolenpsmoodseku"/>
    <w:uiPriority w:val="22"/>
    <w:qFormat/>
    <w:rsid w:val="00D918F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918F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18F7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npdi.gov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mployment.gov.sk/files/slovensky/uvod/legislativa/socialna-pomoc-podpora/dohovor-osn-pravach-osob-so-zdravotnym-postihnutim-opcny-protokol-sk-aj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Bielená Klačanská Lucia</dc:creator>
  <cp:lastModifiedBy>User</cp:lastModifiedBy>
  <cp:revision>2</cp:revision>
  <dcterms:created xsi:type="dcterms:W3CDTF">2021-04-14T09:07:00Z</dcterms:created>
  <dcterms:modified xsi:type="dcterms:W3CDTF">2021-04-14T09:07:00Z</dcterms:modified>
</cp:coreProperties>
</file>